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mp" ContentType="image/bmp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f13a40b64b09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af2e86c1dae5429e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  Редакцијски пречишћен текст</w:t>
      </w: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t xml:space="preserve"> </w:t>
      </w: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t xml:space="preserve"> </w:t>
      </w: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t xml:space="preserve"> </w:t>
      </w: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28. став 6. Закона о основама система образовања и васпитања („Службени гласник РС”, бр. 88/17, 27/18 – др. закон, 10/19, 6/20, 129/21, 92/23 и 19/25),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o календару образовно-васпитног рада средњих школа за школску 2025/2026. годину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br/>
      </w:r>
      <w:r>
        <w:rPr>
          <w:rFonts w:ascii="Verdana" w:hAnsi="Verdana" w:eastAsia="Verdana" w:cs="Verdana"/>
          <w:sz w:val="22"/>
        </w:rPr>
        <w:t xml:space="preserve"> "Службени гласник - Просветни гласник", бр. 6 од 25. јуна 2025, 7 од 21. августа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утврђује се календар за остваривање обавезних облика образовно-васпитног рада (теоријска настава, практична настава и вежбе) и школског распуста у средњим школама, за школску 2025/2026.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Остали обавезни и факултативни облици образовно-васпитног рада, утврђени планом и програмом наставе и учења, односно наставним планом и програмом за средње школе, планирају се годишњим планом рада школе.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Обавезне облике образовно-васпитног рада из члана 1. овог правилника средње школе остварују на годишњем нивоу,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1) у гимназији: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– у I, II и III разреду у 37 петодневних наставних седмица, односно 185 наставних дана;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– у IV разреду у 33 петодневне наставне седмице, односно 165 наставних дана.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Изузетно, у случају када због угрожености безбедности и здравља ученика и запослених, у складу с одлуком органа надлежног за послове јавног здравља или органа надлежног за послове безбедности и здравља на раду, није могуће да гимназија оствари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2) у стручној школи: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– у I и II разреду трогодишњег и I, II и III разреду четворогодишњег образовања у 37 петодневних наставних седмица, односно 185 наставних дана;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– у III разреду трогодишњег и IV разреду четворогодишњег образовања у 34 петодневне наставне седмице, односно 170 наставних дана.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Изузетно, у случају када због угрожености безбедности и здравља ученика и запослених, у складу с одлуком органа надлежног за послове јавног здравља или органа надлежног за послове безбедности и здравља на раду, није могуће да стручна школа оствари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оквиру 37, односно 34 петодневне наставне седмице, стручна школа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утврђени годишњим планом рада, буду равномерно распоређени.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среду, 12. новембра 2025. године, настава се у свим школама изводи према распореду часова за уторак.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четвртак, 9. априла 2026. године, настава се у свим школама изводи према распореду часова за петак.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- Просветни гласник, број 7/2025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учења, односно наставни план и програм за уметничке школе у I, II, III и IV разреду остварује се према годишњем плану рада школе у петодневним или шестодневним наставним седмицама,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учења, односно наставни план и програм у школи за ученике са сметњама у развоју и инвалидитетом, у I, II, III и IV разреду, остварује се према годишњем плану рада школе у петодневним наставним седмицама, у складу са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Настава и други облици образовно-васпитног рада остварују се у два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Прво полугодиште почиње у понедељак, 1. септембра 2025. године, а завршава се у уторак, 30. децембра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почиње у понедељак, 19. јануара 2026. године, a завршава се у петак, 19.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 ученике IV разреда гимназије завршава се у петак, 22. маја 2026. године, а за ученике III разреда трогодишњег и IV разреда четворогодишњег образовања стручних школа у петак, 29. маја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 ученике I и II разреда трогодишњег, односно I, II и III разреда четворогодишњег образовања стручних школа, за које је планом и програмом наставе и учења, односно наставним планом и програмом прописана реализација професионалне праксе према индивидуалном плану реализације ове праксе за сваког ученика, завршава се најкасније у петак, 14. августа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току школске године ученици имају јесењи, зимски, сретењски, пролећни и летњи распуст.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Јесењи распуст почиње у понедељак, 10. новембра 2025. године, а завршава се у уторак, 11. новембра 2025. године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Зимски распуст почиње у среду, 31. децембра 2025. године, а завршава се у петак, 16. јануара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Сретењски распуст почиње у понедељак, 16. фебруара 2026. године, а завршава се у петак, 20. фебруара2026.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Пролећни распуст почиње у петак, 10. априла 2026. године, а завршава се у уторак, 14. априла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I, II и III разреда гимназије и четворогодишњих средњих стручних школа и ученике I и II разреда трогодишњих средњих стручних школа, летњи распуст почиње у понедељак, 22. јуна 2026. године, а завршава се у понедељак, 31. августа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IV разреда гимназије, IV разреда четворогодишњих и III разреда трогодишњих средњих стручних школа, летњи распуст почиње по завршетку матурског/завршног испита, а завршава се у понедељак, 31. августа 2026.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21. октобар 2025. године, као Дан сећања на српске жртве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27. јануар 2026. године, Свети Сава – Дан духовности;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22. април 2026. године, као Дан сећања на жртве холокауста, геноцида и других жртава фашизма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9. мај 2026. године, као Дан победе;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28. јун 2026. године, Видовдан – спомен на Косовску битку.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обележавају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8. новембар 2025. године, као Дан просветних радника;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21. фебруар 2026. године, као Међународни дан матерњег језика;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10. април 2026. године, као дан сећања на Доситеја Обрадовића, великог српског просветитеља и првог српског министра просвете;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недеља од 4. до 8. маја 2026. године,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‒ ученицима и младима, развој и промоцију хуманости, емпатије, толеранције, поштовања и дијалога.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и запослени у школи имају право да не похађају наставу, односно да не раде у дане следећих верских празника,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православци – на први дан крсне славе;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2) припадници исламске заједнице ‒ на први дан Рамазанског бајрама, 20. марта 2026. године и на први дан Курбанског бајрама, 27. маја 2026. године;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припадници јеврејске заједнице – 2. октобра 2025. године, на први дан Јом Кипура;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припадници верских заједница које обележавају верске празнике по грегоријанском календару – 25. децембра 2025.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припадници верских заједница које обележавају верске празнике по јулијанском календару – 7. јануара 2026.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3. до 6. априла 2026. године; православни од 10. до 13. априла 2026. године).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- Просветни гласник, број 7/2025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Годишњим планом рада школа ће утврдити остваривање екскурзије и време када ће надокнадити наставне дане у којима су се остваривале екскурзије.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је Дан школе наставни дан према календару, школа ће тај дан надокнадити на начин који утврди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саопштавања успеха ученика и подела ђачких књижица на крају првог полугодишта,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поделе сведочанстава, полагање завршног испита на крају трогодишњег образовања и матурског испита на крају четворогодишњег образовања, као и време поделе диплома,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Пријављивање за полагање пријемних испита обавиће се од 1. до 8. априла </w:t>
      </w:r>
      <w:r>
        <w:rPr>
          <w:rFonts w:ascii="Verdana" w:hAnsi="Verdana" w:eastAsia="Verdana" w:cs="Verdana"/>
          <w:b/>
          <w:sz w:val="22"/>
        </w:rPr>
        <w:t xml:space="preserve">2026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. године,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од среде, 1. априла до среде, 8. априла 2026. године, електронским путем преко портала Моја средња школа;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 уторак, 7. априла и среду, 8. априла 2026. године, непосредно у матичним основним школама и непосредно у средњим школама у којима је организовано полагање пријемних испита.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испити за упис ученика у средње школе за школску 2026/2027. годину биће организовани 8, 9, и 10. маја 2026. године и 15, 16. и 17. маја </w:t>
      </w:r>
      <w:r>
        <w:rPr>
          <w:rFonts w:ascii="Verdana" w:hAnsi="Verdana" w:eastAsia="Verdana" w:cs="Verdana"/>
          <w:b/>
          <w:sz w:val="22"/>
        </w:rPr>
        <w:t xml:space="preserve">2026. године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, и то за упис 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музичке школе;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балетске школе;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уметничке школе ликовне области и на образовне профиле у области уметности;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за ученике са посебним способностима за математику;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физику;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рачунарство и информатику;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сценску и аудио-визуелну уметност;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географију и историју;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ученика са посебним способностима за биологију и хемију;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одељења за ученике са посебним способностима за филолошке науке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 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– средње школе у којима се део наставе одвија на страном језику.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 спортске документације за кандидате за упис у одељења за ученике са посебним способностима за спорт одржаће се 6, 8. и 9. јуна 2026.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- Просветни гласник, број</w:t>
      </w:r>
      <w:r>
        <w:rPr>
          <w:rFonts w:ascii="Verdana" w:hAnsi="Verdana" w:eastAsia="Verdana" w:cs="Verdana"/>
          <w:sz w:val="22"/>
        </w:rPr>
        <w:t xml:space="preserve"> 7/2025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Табеларни преглед календара образовно-васпитног рада средњих школа за школску 2025/2026. годину одштампан је уз овај правилник и чини његов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наредног дана од дана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110-00-101/2025-03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18. јуна 2025.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Дејан Вук Станковић, </w:t>
      </w:r>
      <w:r>
        <w:rPr>
          <w:rFonts w:ascii="Verdana" w:hAnsi="Verdana" w:eastAsia="Verdana" w:cs="Verdana"/>
          <w:sz w:val="22"/>
        </w:rPr>
        <w:t xml:space="preserve">с.р.</w:t>
      </w:r>
    </w:p>
    <w:p>
      <w:pPr>
        <w:spacing w:line="210" w:lineRule="atLeast"/>
      </w:pPr>
      <w:r>
        <w:rPr>
          <w:rFonts w:ascii="Verdana" w:hAnsi="Verdana" w:eastAsia="Verdana" w:cs="Verdana"/>
          <w:sz w:val="22"/>
        </w:rPr>
        <w:drawing>
          <wp:inline xmlns:wp="http://schemas.openxmlformats.org/drawingml/2006/wordprocessingDrawing" distT="0" distB="0" distL="0" distR="0">
            <wp:extent cx="5000000" cy="6579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PS1Kd2+DOk5cAAAAASUVORK5CYII="/>
                    <pic:cNvPicPr/>
                  </pic:nvPicPr>
                  <pic:blipFill>
                    <a:blip xmlns:r="http://schemas.openxmlformats.org/officeDocument/2006/relationships" r:embed="R70abeb5483f44cf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5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af2e86c1dae5429e" /><Relationship Type="http://schemas.openxmlformats.org/officeDocument/2006/relationships/image" Target="/media/image.bmp" Id="R70abeb5483f44cf0" /></Relationships>
</file>